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5977" w:rsidRDefault="00E35977" w:rsidP="00E35977">
      <w:pPr>
        <w:jc w:val="center"/>
        <w:rPr>
          <w:rFonts w:ascii="Times New Roman" w:hAnsi="Times New Roman" w:cs="Times New Roman"/>
          <w:sz w:val="24"/>
          <w:szCs w:val="24"/>
        </w:rPr>
      </w:pPr>
      <w:r>
        <w:rPr>
          <w:rFonts w:ascii="Times New Roman" w:hAnsi="Times New Roman" w:cs="Times New Roman"/>
          <w:b/>
          <w:bCs/>
          <w:sz w:val="24"/>
          <w:szCs w:val="24"/>
        </w:rPr>
        <w:t>INTERNATIONAL CONFERENCE ON HUMANITIES, SOCIAL SCIENCES AND MANAGEMENT (ICHSM 2026)</w:t>
      </w:r>
    </w:p>
    <w:p w:rsidR="00E35977" w:rsidRDefault="00E35977" w:rsidP="00E35977">
      <w:pPr>
        <w:jc w:val="center"/>
        <w:rPr>
          <w:rFonts w:ascii="Times New Roman" w:hAnsi="Times New Roman" w:cs="Times New Roman"/>
          <w:b/>
          <w:bCs/>
          <w:sz w:val="24"/>
          <w:szCs w:val="24"/>
        </w:rPr>
      </w:pPr>
    </w:p>
    <w:p w:rsidR="00E35977" w:rsidRDefault="00E35977" w:rsidP="00E35977">
      <w:pPr>
        <w:jc w:val="center"/>
        <w:rPr>
          <w:rFonts w:ascii="Times New Roman" w:hAnsi="Times New Roman" w:cs="Times New Roman"/>
          <w:b/>
          <w:sz w:val="24"/>
          <w:szCs w:val="24"/>
        </w:rPr>
      </w:pPr>
      <w:r>
        <w:rPr>
          <w:rFonts w:ascii="Times New Roman" w:hAnsi="Times New Roman" w:cs="Times New Roman"/>
          <w:b/>
          <w:bCs/>
          <w:sz w:val="24"/>
          <w:szCs w:val="24"/>
        </w:rPr>
        <w:t>PRE-CONFERENCE WORKSHOP</w:t>
      </w:r>
      <w:r>
        <w:rPr>
          <w:rFonts w:ascii="Times New Roman" w:hAnsi="Times New Roman" w:cs="Times New Roman"/>
          <w:b/>
          <w:sz w:val="24"/>
          <w:szCs w:val="24"/>
        </w:rPr>
        <w:t xml:space="preserve"> ON </w:t>
      </w:r>
    </w:p>
    <w:p w:rsidR="00E35977" w:rsidRDefault="00E35977" w:rsidP="00E35977">
      <w:pPr>
        <w:jc w:val="center"/>
        <w:rPr>
          <w:rFonts w:ascii="Times New Roman" w:hAnsi="Times New Roman" w:cs="Times New Roman"/>
          <w:b/>
          <w:sz w:val="24"/>
          <w:szCs w:val="24"/>
        </w:rPr>
      </w:pPr>
      <w:r>
        <w:rPr>
          <w:rFonts w:ascii="Times New Roman" w:hAnsi="Times New Roman" w:cs="Times New Roman"/>
          <w:b/>
          <w:bCs/>
          <w:sz w:val="24"/>
          <w:szCs w:val="24"/>
        </w:rPr>
        <w:t>“DECODING THE DESK REJECT: LESSONS FROM THE EDITOR’S CHAIR.”</w:t>
      </w:r>
    </w:p>
    <w:p w:rsidR="00E35977" w:rsidRDefault="00E35977" w:rsidP="00E35977">
      <w:pPr>
        <w:jc w:val="center"/>
        <w:rPr>
          <w:rFonts w:ascii="Times New Roman" w:hAnsi="Times New Roman" w:cs="Times New Roman"/>
          <w:b/>
          <w:sz w:val="24"/>
          <w:szCs w:val="24"/>
        </w:rPr>
      </w:pPr>
      <w:r>
        <w:rPr>
          <w:rFonts w:ascii="Times New Roman" w:hAnsi="Times New Roman" w:cs="Times New Roman"/>
          <w:b/>
          <w:sz w:val="24"/>
          <w:szCs w:val="24"/>
        </w:rPr>
        <w:t>Date: 21</w:t>
      </w:r>
      <w:r>
        <w:rPr>
          <w:rFonts w:ascii="Times New Roman" w:hAnsi="Times New Roman" w:cs="Times New Roman"/>
          <w:b/>
          <w:sz w:val="24"/>
          <w:szCs w:val="24"/>
          <w:vertAlign w:val="superscript"/>
        </w:rPr>
        <w:t>st</w:t>
      </w:r>
      <w:r>
        <w:rPr>
          <w:rFonts w:ascii="Times New Roman" w:hAnsi="Times New Roman" w:cs="Times New Roman"/>
          <w:b/>
          <w:sz w:val="24"/>
          <w:szCs w:val="24"/>
        </w:rPr>
        <w:t xml:space="preserve"> Feb </w:t>
      </w:r>
      <w:proofErr w:type="gramStart"/>
      <w:r>
        <w:rPr>
          <w:rFonts w:ascii="Times New Roman" w:hAnsi="Times New Roman" w:cs="Times New Roman"/>
          <w:b/>
          <w:sz w:val="24"/>
          <w:szCs w:val="24"/>
        </w:rPr>
        <w:t>2026  ,</w:t>
      </w:r>
      <w:proofErr w:type="gramEnd"/>
      <w:r>
        <w:rPr>
          <w:rFonts w:ascii="Times New Roman" w:hAnsi="Times New Roman" w:cs="Times New Roman"/>
          <w:b/>
          <w:sz w:val="24"/>
          <w:szCs w:val="24"/>
        </w:rPr>
        <w:t xml:space="preserve"> Time: 12:00-1:30 PM, MODE: Online </w:t>
      </w:r>
    </w:p>
    <w:p w:rsidR="000A7B7A" w:rsidRDefault="000A7B7A"/>
    <w:p w:rsidR="00E35977" w:rsidRPr="00E35977" w:rsidRDefault="00E35977" w:rsidP="00E35977">
      <w:pPr>
        <w:jc w:val="both"/>
        <w:rPr>
          <w:rFonts w:ascii="Times New Roman" w:hAnsi="Times New Roman" w:cs="Times New Roman"/>
          <w:sz w:val="24"/>
          <w:szCs w:val="24"/>
        </w:rPr>
      </w:pPr>
      <w:bookmarkStart w:id="0" w:name="_GoBack"/>
      <w:bookmarkEnd w:id="0"/>
      <w:r w:rsidRPr="00E35977">
        <w:rPr>
          <w:rFonts w:ascii="Times New Roman" w:hAnsi="Times New Roman" w:cs="Times New Roman"/>
          <w:sz w:val="24"/>
          <w:szCs w:val="24"/>
        </w:rPr>
        <w:t>About the Workshop:</w:t>
      </w:r>
    </w:p>
    <w:p w:rsidR="00E35977" w:rsidRPr="00E35977" w:rsidRDefault="00E35977" w:rsidP="00E35977">
      <w:pPr>
        <w:jc w:val="both"/>
        <w:rPr>
          <w:rFonts w:ascii="Times New Roman" w:hAnsi="Times New Roman" w:cs="Times New Roman"/>
          <w:sz w:val="24"/>
          <w:szCs w:val="24"/>
        </w:rPr>
      </w:pPr>
      <w:r w:rsidRPr="00E35977">
        <w:rPr>
          <w:rFonts w:ascii="Times New Roman" w:hAnsi="Times New Roman" w:cs="Times New Roman"/>
          <w:sz w:val="24"/>
          <w:szCs w:val="24"/>
        </w:rPr>
        <w:t xml:space="preserve">The ICHSM 2026 pre-conference workshop, titled "Decoding the Desk Reject: Lessons from the Editor’s Chair," offered a strategic deep dive into the often-opaque world of academic publishing. Led by </w:t>
      </w:r>
      <w:proofErr w:type="spellStart"/>
      <w:r w:rsidRPr="00E35977">
        <w:rPr>
          <w:rFonts w:ascii="Times New Roman" w:hAnsi="Times New Roman" w:cs="Times New Roman"/>
          <w:sz w:val="24"/>
          <w:szCs w:val="24"/>
        </w:rPr>
        <w:t>Dr.</w:t>
      </w:r>
      <w:proofErr w:type="spellEnd"/>
      <w:r w:rsidRPr="00E35977">
        <w:rPr>
          <w:rFonts w:ascii="Times New Roman" w:hAnsi="Times New Roman" w:cs="Times New Roman"/>
          <w:sz w:val="24"/>
          <w:szCs w:val="24"/>
        </w:rPr>
        <w:t xml:space="preserve"> Radha Yadav, an Associate Editor at </w:t>
      </w:r>
      <w:r w:rsidRPr="00E35977">
        <w:rPr>
          <w:rFonts w:ascii="Times New Roman" w:hAnsi="Times New Roman" w:cs="Times New Roman"/>
          <w:i/>
          <w:iCs/>
          <w:sz w:val="24"/>
          <w:szCs w:val="24"/>
        </w:rPr>
        <w:t>Management and Labour Studies</w:t>
      </w:r>
      <w:r w:rsidRPr="00E35977">
        <w:rPr>
          <w:rFonts w:ascii="Times New Roman" w:hAnsi="Times New Roman" w:cs="Times New Roman"/>
          <w:sz w:val="24"/>
          <w:szCs w:val="24"/>
        </w:rPr>
        <w:t xml:space="preserve"> and faculty member at IIM Ranchi, the session focused on the critical "gatekeeping" phase where manuscripts are rejected before reaching peer review. </w:t>
      </w:r>
      <w:proofErr w:type="spellStart"/>
      <w:r w:rsidRPr="00E35977">
        <w:rPr>
          <w:rFonts w:ascii="Times New Roman" w:hAnsi="Times New Roman" w:cs="Times New Roman"/>
          <w:sz w:val="24"/>
          <w:szCs w:val="24"/>
        </w:rPr>
        <w:t>Dr.</w:t>
      </w:r>
      <w:proofErr w:type="spellEnd"/>
      <w:r w:rsidRPr="00E35977">
        <w:rPr>
          <w:rFonts w:ascii="Times New Roman" w:hAnsi="Times New Roman" w:cs="Times New Roman"/>
          <w:sz w:val="24"/>
          <w:szCs w:val="24"/>
        </w:rPr>
        <w:t xml:space="preserve"> Yadav detailed that desk rejections are rarely about the data alone; they are frequently driven by a lack of "theoretical contribution," a poor fit with the journal’s specific aims and scope, or a failure to clearly articulate the research's "so what?" factor in the introduction and abstract. The workshop highlighted technical "red flags," such as outdated literature, inconsistent formatting, and weak methodological rigor, while providing a clear roadmap of the editorial workflow—from the initial Editor-in-Chief "vibe check" to the final technical screening. Ultimately, the session empowered researchers to view their submissions through an editor’s lens, emphasizing that success lies in aligning a paper’s unique novelty with the specific needs and standards of the target journal.</w:t>
      </w:r>
    </w:p>
    <w:p w:rsidR="00E35977" w:rsidRDefault="00E35977"/>
    <w:p w:rsidR="00E35977" w:rsidRDefault="00E35977"/>
    <w:p w:rsidR="00E35977" w:rsidRDefault="00E35977"/>
    <w:p w:rsidR="00E35977" w:rsidRDefault="00E35977">
      <w:r>
        <w:rPr>
          <w:noProof/>
        </w:rPr>
        <w:drawing>
          <wp:inline distT="0" distB="0" distL="0" distR="0">
            <wp:extent cx="5731510" cy="271042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2710423"/>
                    </a:xfrm>
                    <a:prstGeom prst="rect">
                      <a:avLst/>
                    </a:prstGeom>
                    <a:noFill/>
                    <a:ln>
                      <a:noFill/>
                    </a:ln>
                  </pic:spPr>
                </pic:pic>
              </a:graphicData>
            </a:graphic>
          </wp:inline>
        </w:drawing>
      </w:r>
    </w:p>
    <w:p w:rsidR="00E35977" w:rsidRDefault="00E35977"/>
    <w:p w:rsidR="00E35977" w:rsidRDefault="00E35977">
      <w:r>
        <w:rPr>
          <w:noProof/>
        </w:rPr>
        <w:lastRenderedPageBreak/>
        <w:drawing>
          <wp:inline distT="0" distB="0" distL="0" distR="0">
            <wp:extent cx="5731510" cy="2653071"/>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2653071"/>
                    </a:xfrm>
                    <a:prstGeom prst="rect">
                      <a:avLst/>
                    </a:prstGeom>
                    <a:noFill/>
                    <a:ln>
                      <a:noFill/>
                    </a:ln>
                  </pic:spPr>
                </pic:pic>
              </a:graphicData>
            </a:graphic>
          </wp:inline>
        </w:drawing>
      </w:r>
    </w:p>
    <w:p w:rsidR="00E35977" w:rsidRDefault="00E35977"/>
    <w:p w:rsidR="00E35977" w:rsidRDefault="00E35977">
      <w:r>
        <w:rPr>
          <w:noProof/>
        </w:rPr>
        <w:drawing>
          <wp:inline distT="0" distB="0" distL="0" distR="0">
            <wp:extent cx="5731510" cy="267150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671504"/>
                    </a:xfrm>
                    <a:prstGeom prst="rect">
                      <a:avLst/>
                    </a:prstGeom>
                    <a:noFill/>
                    <a:ln>
                      <a:noFill/>
                    </a:ln>
                  </pic:spPr>
                </pic:pic>
              </a:graphicData>
            </a:graphic>
          </wp:inline>
        </w:drawing>
      </w:r>
    </w:p>
    <w:p w:rsidR="00E35977" w:rsidRDefault="00E35977">
      <w:r>
        <w:rPr>
          <w:noProof/>
        </w:rPr>
        <w:lastRenderedPageBreak/>
        <w:drawing>
          <wp:inline distT="0" distB="0" distL="0" distR="0" wp14:anchorId="13283503" wp14:editId="08867535">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3895"/>
                    </a:xfrm>
                    <a:prstGeom prst="rect">
                      <a:avLst/>
                    </a:prstGeom>
                  </pic:spPr>
                </pic:pic>
              </a:graphicData>
            </a:graphic>
          </wp:inline>
        </w:drawing>
      </w:r>
    </w:p>
    <w:p w:rsidR="00E35977" w:rsidRDefault="00E35977"/>
    <w:p w:rsidR="00E35977" w:rsidRDefault="00E35977">
      <w:r>
        <w:rPr>
          <w:noProof/>
        </w:rPr>
        <w:drawing>
          <wp:inline distT="0" distB="0" distL="0" distR="0" wp14:anchorId="027A8E57" wp14:editId="32B3503C">
            <wp:extent cx="5731510" cy="32238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23895"/>
                    </a:xfrm>
                    <a:prstGeom prst="rect">
                      <a:avLst/>
                    </a:prstGeom>
                  </pic:spPr>
                </pic:pic>
              </a:graphicData>
            </a:graphic>
          </wp:inline>
        </w:drawing>
      </w:r>
    </w:p>
    <w:sectPr w:rsidR="00E3597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977"/>
    <w:rsid w:val="000A7B7A"/>
    <w:rsid w:val="001C78D3"/>
    <w:rsid w:val="008120CC"/>
    <w:rsid w:val="00A47D40"/>
    <w:rsid w:val="00E35977"/>
    <w:rsid w:val="00E819A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9382D3-56EA-443E-B1D5-075C05151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5977"/>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327327">
      <w:bodyDiv w:val="1"/>
      <w:marLeft w:val="0"/>
      <w:marRight w:val="0"/>
      <w:marTop w:val="0"/>
      <w:marBottom w:val="0"/>
      <w:divBdr>
        <w:top w:val="none" w:sz="0" w:space="0" w:color="auto"/>
        <w:left w:val="none" w:sz="0" w:space="0" w:color="auto"/>
        <w:bottom w:val="none" w:sz="0" w:space="0" w:color="auto"/>
        <w:right w:val="none" w:sz="0" w:space="0" w:color="auto"/>
      </w:divBdr>
    </w:div>
    <w:div w:id="1249540880">
      <w:bodyDiv w:val="1"/>
      <w:marLeft w:val="0"/>
      <w:marRight w:val="0"/>
      <w:marTop w:val="0"/>
      <w:marBottom w:val="0"/>
      <w:divBdr>
        <w:top w:val="none" w:sz="0" w:space="0" w:color="auto"/>
        <w:left w:val="none" w:sz="0" w:space="0" w:color="auto"/>
        <w:bottom w:val="none" w:sz="0" w:space="0" w:color="auto"/>
        <w:right w:val="none" w:sz="0" w:space="0" w:color="auto"/>
      </w:divBdr>
    </w:div>
    <w:div w:id="2009402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221</Words>
  <Characters>1260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kanupriya misra</dc:creator>
  <cp:keywords/>
  <dc:description/>
  <cp:lastModifiedBy>amandeep kaur</cp:lastModifiedBy>
  <cp:revision>3</cp:revision>
  <dcterms:created xsi:type="dcterms:W3CDTF">2026-02-23T08:33:00Z</dcterms:created>
  <dcterms:modified xsi:type="dcterms:W3CDTF">2026-02-25T08:36:00Z</dcterms:modified>
</cp:coreProperties>
</file>